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4C1BC" w14:textId="0080111A" w:rsidR="00C92923" w:rsidRDefault="00C92923" w:rsidP="006460CF">
      <w:pPr>
        <w:numPr>
          <w:ilvl w:val="0"/>
          <w:numId w:val="1"/>
        </w:numPr>
        <w:tabs>
          <w:tab w:val="clear" w:pos="720"/>
          <w:tab w:val="num" w:pos="360"/>
        </w:tabs>
        <w:spacing w:before="240"/>
        <w:ind w:left="357" w:hanging="357"/>
        <w:jc w:val="both"/>
        <w:rPr>
          <w:rFonts w:ascii="Arial" w:hAnsi="Arial" w:cs="Arial"/>
          <w:bCs/>
          <w:spacing w:val="-3"/>
          <w:sz w:val="22"/>
          <w:szCs w:val="22"/>
        </w:rPr>
      </w:pPr>
      <w:r>
        <w:rPr>
          <w:rFonts w:ascii="Arial" w:hAnsi="Arial" w:cs="Arial"/>
          <w:bCs/>
          <w:spacing w:val="-3"/>
          <w:sz w:val="22"/>
          <w:szCs w:val="22"/>
        </w:rPr>
        <w:t xml:space="preserve">The Queensland Human Rights Commission’s </w:t>
      </w:r>
      <w:r w:rsidR="007755DA">
        <w:rPr>
          <w:rFonts w:ascii="Arial" w:hAnsi="Arial" w:cs="Arial"/>
          <w:bCs/>
          <w:spacing w:val="-3"/>
          <w:sz w:val="22"/>
          <w:szCs w:val="22"/>
        </w:rPr>
        <w:t xml:space="preserve">(QHRC) </w:t>
      </w:r>
      <w:r>
        <w:rPr>
          <w:rFonts w:ascii="Arial" w:hAnsi="Arial" w:cs="Arial"/>
          <w:bCs/>
          <w:spacing w:val="-3"/>
          <w:sz w:val="22"/>
          <w:szCs w:val="22"/>
        </w:rPr>
        <w:t xml:space="preserve">report, </w:t>
      </w:r>
      <w:r w:rsidRPr="00C92923">
        <w:rPr>
          <w:rFonts w:ascii="Arial" w:hAnsi="Arial" w:cs="Arial"/>
          <w:bCs/>
          <w:i/>
          <w:iCs/>
          <w:spacing w:val="-3"/>
          <w:sz w:val="22"/>
          <w:szCs w:val="22"/>
        </w:rPr>
        <w:t>Building Belonging – Review of Queensland’s Anti-Discrimination Act 1991</w:t>
      </w:r>
      <w:r>
        <w:rPr>
          <w:rFonts w:ascii="Arial" w:hAnsi="Arial" w:cs="Arial"/>
          <w:bCs/>
          <w:i/>
          <w:iCs/>
          <w:spacing w:val="-3"/>
          <w:sz w:val="22"/>
          <w:szCs w:val="22"/>
        </w:rPr>
        <w:t xml:space="preserve"> </w:t>
      </w:r>
      <w:r>
        <w:rPr>
          <w:rFonts w:ascii="Arial" w:hAnsi="Arial" w:cs="Arial"/>
          <w:bCs/>
          <w:spacing w:val="-3"/>
          <w:sz w:val="22"/>
          <w:szCs w:val="22"/>
        </w:rPr>
        <w:t xml:space="preserve">(the </w:t>
      </w:r>
      <w:r>
        <w:rPr>
          <w:rFonts w:ascii="Arial" w:hAnsi="Arial" w:cs="Arial"/>
          <w:bCs/>
          <w:i/>
          <w:iCs/>
          <w:spacing w:val="-3"/>
          <w:sz w:val="22"/>
          <w:szCs w:val="22"/>
        </w:rPr>
        <w:t xml:space="preserve">Building Belonging </w:t>
      </w:r>
      <w:r>
        <w:rPr>
          <w:rFonts w:ascii="Arial" w:hAnsi="Arial" w:cs="Arial"/>
          <w:bCs/>
          <w:spacing w:val="-3"/>
          <w:sz w:val="22"/>
          <w:szCs w:val="22"/>
        </w:rPr>
        <w:t xml:space="preserve">Report), was </w:t>
      </w:r>
      <w:r w:rsidR="007755DA">
        <w:rPr>
          <w:rFonts w:ascii="Arial" w:hAnsi="Arial" w:cs="Arial"/>
          <w:bCs/>
          <w:spacing w:val="-3"/>
          <w:sz w:val="22"/>
          <w:szCs w:val="22"/>
        </w:rPr>
        <w:t xml:space="preserve">tabled in the Legislative Assembly on 1 September 2022 alongside </w:t>
      </w:r>
      <w:r w:rsidR="005E2740">
        <w:rPr>
          <w:rFonts w:ascii="Arial" w:hAnsi="Arial" w:cs="Arial"/>
          <w:bCs/>
          <w:spacing w:val="-3"/>
          <w:sz w:val="22"/>
          <w:szCs w:val="22"/>
        </w:rPr>
        <w:t xml:space="preserve">the interim </w:t>
      </w:r>
      <w:r w:rsidR="007755DA">
        <w:rPr>
          <w:rFonts w:ascii="Arial" w:hAnsi="Arial" w:cs="Arial"/>
          <w:bCs/>
          <w:spacing w:val="-3"/>
          <w:sz w:val="22"/>
          <w:szCs w:val="22"/>
        </w:rPr>
        <w:t xml:space="preserve">Queensland </w:t>
      </w:r>
      <w:r w:rsidR="005E2740">
        <w:rPr>
          <w:rFonts w:ascii="Arial" w:hAnsi="Arial" w:cs="Arial"/>
          <w:bCs/>
          <w:spacing w:val="-3"/>
          <w:sz w:val="22"/>
          <w:szCs w:val="22"/>
        </w:rPr>
        <w:t xml:space="preserve">Government response. </w:t>
      </w:r>
    </w:p>
    <w:p w14:paraId="67ADCEBF" w14:textId="23FCA785" w:rsidR="00680BE8" w:rsidRPr="007E5BEF" w:rsidRDefault="00680BE8" w:rsidP="006460CF">
      <w:pPr>
        <w:numPr>
          <w:ilvl w:val="0"/>
          <w:numId w:val="1"/>
        </w:numPr>
        <w:tabs>
          <w:tab w:val="clear" w:pos="720"/>
          <w:tab w:val="num" w:pos="360"/>
        </w:tabs>
        <w:spacing w:before="240"/>
        <w:ind w:left="357" w:hanging="357"/>
        <w:jc w:val="both"/>
        <w:rPr>
          <w:rFonts w:ascii="Arial" w:hAnsi="Arial" w:cs="Arial"/>
          <w:bCs/>
          <w:spacing w:val="-3"/>
          <w:sz w:val="22"/>
          <w:szCs w:val="22"/>
        </w:rPr>
      </w:pPr>
      <w:r>
        <w:rPr>
          <w:rFonts w:ascii="Arial" w:hAnsi="Arial" w:cs="Arial"/>
          <w:bCs/>
          <w:spacing w:val="-3"/>
          <w:sz w:val="22"/>
          <w:szCs w:val="22"/>
        </w:rPr>
        <w:t>The final</w:t>
      </w:r>
      <w:r w:rsidR="007755DA">
        <w:rPr>
          <w:rFonts w:ascii="Arial" w:hAnsi="Arial" w:cs="Arial"/>
          <w:bCs/>
          <w:spacing w:val="-3"/>
          <w:sz w:val="22"/>
          <w:szCs w:val="22"/>
        </w:rPr>
        <w:t xml:space="preserve"> Queensland</w:t>
      </w:r>
      <w:r>
        <w:rPr>
          <w:rFonts w:ascii="Arial" w:hAnsi="Arial" w:cs="Arial"/>
          <w:bCs/>
          <w:spacing w:val="-3"/>
          <w:sz w:val="22"/>
          <w:szCs w:val="22"/>
        </w:rPr>
        <w:t xml:space="preserve"> Government response provides a response to each of the </w:t>
      </w:r>
      <w:r w:rsidR="00423B53">
        <w:rPr>
          <w:rFonts w:ascii="Arial" w:hAnsi="Arial" w:cs="Arial"/>
          <w:bCs/>
          <w:spacing w:val="-3"/>
          <w:sz w:val="22"/>
          <w:szCs w:val="22"/>
        </w:rPr>
        <w:br/>
      </w:r>
      <w:r>
        <w:rPr>
          <w:rFonts w:ascii="Arial" w:hAnsi="Arial" w:cs="Arial"/>
          <w:bCs/>
          <w:spacing w:val="-3"/>
          <w:sz w:val="22"/>
          <w:szCs w:val="22"/>
        </w:rPr>
        <w:t xml:space="preserve">122 recommendations made by the </w:t>
      </w:r>
      <w:r w:rsidR="007755DA">
        <w:rPr>
          <w:rFonts w:ascii="Arial" w:hAnsi="Arial" w:cs="Arial"/>
          <w:bCs/>
          <w:spacing w:val="-3"/>
          <w:sz w:val="22"/>
          <w:szCs w:val="22"/>
        </w:rPr>
        <w:t>QHRC</w:t>
      </w:r>
      <w:r w:rsidR="007755DA" w:rsidDel="007755DA">
        <w:rPr>
          <w:rFonts w:ascii="Arial" w:hAnsi="Arial" w:cs="Arial"/>
          <w:bCs/>
          <w:spacing w:val="-3"/>
          <w:sz w:val="22"/>
          <w:szCs w:val="22"/>
        </w:rPr>
        <w:t xml:space="preserve"> </w:t>
      </w:r>
      <w:r>
        <w:rPr>
          <w:rFonts w:ascii="Arial" w:hAnsi="Arial" w:cs="Arial"/>
          <w:bCs/>
          <w:spacing w:val="-3"/>
          <w:sz w:val="22"/>
          <w:szCs w:val="22"/>
        </w:rPr>
        <w:t xml:space="preserve">in </w:t>
      </w:r>
      <w:r w:rsidR="007755DA">
        <w:rPr>
          <w:rFonts w:ascii="Arial" w:hAnsi="Arial" w:cs="Arial"/>
          <w:bCs/>
          <w:spacing w:val="-3"/>
          <w:sz w:val="22"/>
          <w:szCs w:val="22"/>
        </w:rPr>
        <w:t xml:space="preserve">the </w:t>
      </w:r>
      <w:r w:rsidR="007755DA">
        <w:rPr>
          <w:rFonts w:ascii="Arial" w:hAnsi="Arial" w:cs="Arial"/>
          <w:bCs/>
          <w:i/>
          <w:iCs/>
          <w:spacing w:val="-3"/>
          <w:sz w:val="22"/>
          <w:szCs w:val="22"/>
        </w:rPr>
        <w:t xml:space="preserve">Building Belonging </w:t>
      </w:r>
      <w:r w:rsidR="007755DA">
        <w:rPr>
          <w:rFonts w:ascii="Arial" w:hAnsi="Arial" w:cs="Arial"/>
          <w:bCs/>
          <w:spacing w:val="-3"/>
          <w:sz w:val="22"/>
          <w:szCs w:val="22"/>
        </w:rPr>
        <w:t>Report</w:t>
      </w:r>
      <w:r>
        <w:rPr>
          <w:rFonts w:ascii="Arial" w:hAnsi="Arial" w:cs="Arial"/>
          <w:bCs/>
          <w:spacing w:val="-3"/>
          <w:sz w:val="22"/>
          <w:szCs w:val="22"/>
        </w:rPr>
        <w:t xml:space="preserve">.  </w:t>
      </w:r>
    </w:p>
    <w:p w14:paraId="4484A9DD" w14:textId="210D6324" w:rsidR="00C92923" w:rsidRPr="00C92923" w:rsidRDefault="00C92923" w:rsidP="006460CF">
      <w:pPr>
        <w:numPr>
          <w:ilvl w:val="0"/>
          <w:numId w:val="1"/>
        </w:numPr>
        <w:tabs>
          <w:tab w:val="clear" w:pos="720"/>
          <w:tab w:val="num" w:pos="360"/>
        </w:tabs>
        <w:spacing w:before="240"/>
        <w:ind w:left="357" w:hanging="357"/>
        <w:jc w:val="both"/>
        <w:rPr>
          <w:rFonts w:ascii="Arial" w:hAnsi="Arial" w:cs="Arial"/>
          <w:bCs/>
          <w:spacing w:val="-3"/>
          <w:sz w:val="22"/>
          <w:szCs w:val="22"/>
        </w:rPr>
      </w:pPr>
      <w:r w:rsidRPr="00C92923">
        <w:rPr>
          <w:rFonts w:ascii="Arial" w:hAnsi="Arial" w:cs="Arial"/>
          <w:bCs/>
          <w:spacing w:val="-3"/>
          <w:sz w:val="22"/>
          <w:szCs w:val="22"/>
        </w:rPr>
        <w:t xml:space="preserve">The recommendations aim to ensure Queensland’s </w:t>
      </w:r>
      <w:r w:rsidR="007E5BEF">
        <w:rPr>
          <w:rFonts w:ascii="Arial" w:hAnsi="Arial" w:cs="Arial"/>
          <w:bCs/>
          <w:spacing w:val="-3"/>
          <w:sz w:val="22"/>
          <w:szCs w:val="22"/>
        </w:rPr>
        <w:t>anti-</w:t>
      </w:r>
      <w:r w:rsidRPr="00C92923">
        <w:rPr>
          <w:rFonts w:ascii="Arial" w:hAnsi="Arial" w:cs="Arial"/>
          <w:bCs/>
          <w:spacing w:val="-3"/>
          <w:sz w:val="22"/>
          <w:szCs w:val="22"/>
        </w:rPr>
        <w:t xml:space="preserve">discrimination law is effective in protecting people from discrimination and sexual harassment by: </w:t>
      </w:r>
    </w:p>
    <w:p w14:paraId="3075563B" w14:textId="77777777" w:rsidR="00C92923" w:rsidRPr="00C92923" w:rsidRDefault="00C92923" w:rsidP="00423B53">
      <w:pPr>
        <w:numPr>
          <w:ilvl w:val="1"/>
          <w:numId w:val="3"/>
        </w:numPr>
        <w:tabs>
          <w:tab w:val="clear" w:pos="1443"/>
        </w:tabs>
        <w:spacing w:before="120"/>
        <w:ind w:left="850" w:hanging="425"/>
        <w:jc w:val="both"/>
        <w:rPr>
          <w:rFonts w:ascii="Arial" w:hAnsi="Arial" w:cs="Arial"/>
          <w:bCs/>
          <w:spacing w:val="-3"/>
          <w:sz w:val="22"/>
          <w:szCs w:val="22"/>
        </w:rPr>
      </w:pPr>
      <w:r w:rsidRPr="00C92923">
        <w:rPr>
          <w:rFonts w:ascii="Arial" w:hAnsi="Arial" w:cs="Arial"/>
          <w:bCs/>
          <w:spacing w:val="-3"/>
          <w:sz w:val="22"/>
          <w:szCs w:val="22"/>
        </w:rPr>
        <w:t>eliminating discrimination, including the introduction of a new Act to protect and promote the right to equality and eliminate discrimination and sexual harassment to the greatest extent possible;</w:t>
      </w:r>
    </w:p>
    <w:p w14:paraId="2079F232" w14:textId="77777777" w:rsidR="00C92923" w:rsidRPr="00C92923" w:rsidRDefault="00C92923" w:rsidP="00423B53">
      <w:pPr>
        <w:numPr>
          <w:ilvl w:val="1"/>
          <w:numId w:val="3"/>
        </w:numPr>
        <w:tabs>
          <w:tab w:val="clear" w:pos="1443"/>
        </w:tabs>
        <w:spacing w:before="120"/>
        <w:ind w:left="850" w:hanging="425"/>
        <w:jc w:val="both"/>
        <w:rPr>
          <w:rFonts w:ascii="Arial" w:hAnsi="Arial" w:cs="Arial"/>
          <w:bCs/>
          <w:spacing w:val="-3"/>
          <w:sz w:val="22"/>
          <w:szCs w:val="22"/>
        </w:rPr>
      </w:pPr>
      <w:r w:rsidRPr="00C92923">
        <w:rPr>
          <w:rFonts w:ascii="Arial" w:hAnsi="Arial" w:cs="Arial"/>
          <w:bCs/>
          <w:spacing w:val="-3"/>
          <w:sz w:val="22"/>
          <w:szCs w:val="22"/>
        </w:rPr>
        <w:t>refining key concepts, to ensure the legal tests for discrimination respond effectively to the problems they are seeking to address and are easy to understand and apply;</w:t>
      </w:r>
    </w:p>
    <w:p w14:paraId="014D3D10" w14:textId="77777777" w:rsidR="00C92923" w:rsidRPr="00C92923" w:rsidRDefault="00C92923" w:rsidP="00423B53">
      <w:pPr>
        <w:numPr>
          <w:ilvl w:val="1"/>
          <w:numId w:val="3"/>
        </w:numPr>
        <w:tabs>
          <w:tab w:val="clear" w:pos="1443"/>
        </w:tabs>
        <w:spacing w:before="120"/>
        <w:ind w:left="850" w:hanging="425"/>
        <w:jc w:val="both"/>
        <w:rPr>
          <w:rFonts w:ascii="Arial" w:hAnsi="Arial" w:cs="Arial"/>
          <w:bCs/>
          <w:spacing w:val="-3"/>
          <w:sz w:val="22"/>
          <w:szCs w:val="22"/>
        </w:rPr>
      </w:pPr>
      <w:r w:rsidRPr="00C92923">
        <w:rPr>
          <w:rFonts w:ascii="Arial" w:hAnsi="Arial" w:cs="Arial"/>
          <w:bCs/>
          <w:spacing w:val="-3"/>
          <w:sz w:val="22"/>
          <w:szCs w:val="22"/>
        </w:rPr>
        <w:t>shifting the focus to prevention, to stop discrimination and sexual harassment before it happens;</w:t>
      </w:r>
    </w:p>
    <w:p w14:paraId="0B2C3A93" w14:textId="77777777" w:rsidR="00C92923" w:rsidRPr="00C92923" w:rsidRDefault="00C92923" w:rsidP="00423B53">
      <w:pPr>
        <w:numPr>
          <w:ilvl w:val="1"/>
          <w:numId w:val="3"/>
        </w:numPr>
        <w:tabs>
          <w:tab w:val="clear" w:pos="1443"/>
        </w:tabs>
        <w:spacing w:before="120"/>
        <w:ind w:left="850" w:hanging="425"/>
        <w:jc w:val="both"/>
        <w:rPr>
          <w:rFonts w:ascii="Arial" w:hAnsi="Arial" w:cs="Arial"/>
          <w:bCs/>
          <w:spacing w:val="-3"/>
          <w:sz w:val="22"/>
          <w:szCs w:val="22"/>
        </w:rPr>
      </w:pPr>
      <w:r w:rsidRPr="00C92923">
        <w:rPr>
          <w:rFonts w:ascii="Arial" w:hAnsi="Arial" w:cs="Arial"/>
          <w:bCs/>
          <w:spacing w:val="-3"/>
          <w:sz w:val="22"/>
          <w:szCs w:val="22"/>
        </w:rPr>
        <w:t>improving the complaints system, including reorientating the dispute resolution process to ensure it is flexible and efficient, and to enhance access to justice; and</w:t>
      </w:r>
    </w:p>
    <w:p w14:paraId="40B4C934" w14:textId="77777777" w:rsidR="005E2740" w:rsidRPr="007E5BEF" w:rsidRDefault="00C92923" w:rsidP="00423B53">
      <w:pPr>
        <w:numPr>
          <w:ilvl w:val="1"/>
          <w:numId w:val="3"/>
        </w:numPr>
        <w:tabs>
          <w:tab w:val="clear" w:pos="1443"/>
        </w:tabs>
        <w:spacing w:before="120"/>
        <w:ind w:left="850" w:hanging="425"/>
        <w:jc w:val="both"/>
        <w:rPr>
          <w:rFonts w:ascii="Arial" w:hAnsi="Arial" w:cs="Arial"/>
          <w:bCs/>
          <w:spacing w:val="-3"/>
          <w:sz w:val="22"/>
          <w:szCs w:val="22"/>
        </w:rPr>
      </w:pPr>
      <w:r w:rsidRPr="00C92923">
        <w:rPr>
          <w:rFonts w:ascii="Arial" w:hAnsi="Arial" w:cs="Arial"/>
          <w:bCs/>
          <w:spacing w:val="-3"/>
          <w:sz w:val="22"/>
          <w:szCs w:val="22"/>
        </w:rPr>
        <w:t>increasing protection, to ensure all people who require protection under the Act are included, and that coverage of the law extends to all contexts and settings where unfair discrimination occurs, subject to reasonable exceptions.</w:t>
      </w:r>
    </w:p>
    <w:p w14:paraId="54B32E73" w14:textId="4CCE87C1" w:rsidR="005E2740" w:rsidRPr="007E5BEF" w:rsidRDefault="005E2740" w:rsidP="006460CF">
      <w:pPr>
        <w:numPr>
          <w:ilvl w:val="0"/>
          <w:numId w:val="1"/>
        </w:numPr>
        <w:tabs>
          <w:tab w:val="clear" w:pos="720"/>
          <w:tab w:val="num" w:pos="360"/>
        </w:tabs>
        <w:spacing w:before="240"/>
        <w:ind w:left="357" w:hanging="357"/>
        <w:jc w:val="both"/>
        <w:rPr>
          <w:rFonts w:ascii="Arial" w:hAnsi="Arial" w:cs="Arial"/>
          <w:bCs/>
          <w:spacing w:val="-3"/>
          <w:sz w:val="22"/>
          <w:szCs w:val="22"/>
        </w:rPr>
      </w:pPr>
      <w:r w:rsidRPr="007E5BEF">
        <w:rPr>
          <w:rFonts w:ascii="Arial" w:hAnsi="Arial" w:cs="Arial"/>
          <w:bCs/>
          <w:spacing w:val="-3"/>
          <w:sz w:val="22"/>
          <w:szCs w:val="22"/>
          <w:u w:val="single"/>
        </w:rPr>
        <w:t>Cabinet approved</w:t>
      </w:r>
      <w:r>
        <w:rPr>
          <w:rFonts w:ascii="Arial" w:hAnsi="Arial" w:cs="Arial"/>
          <w:bCs/>
          <w:spacing w:val="-3"/>
          <w:sz w:val="22"/>
          <w:szCs w:val="22"/>
        </w:rPr>
        <w:t xml:space="preserve"> the final Queensland Government response to the </w:t>
      </w:r>
      <w:r w:rsidR="00423B53" w:rsidRPr="00423B53">
        <w:rPr>
          <w:rFonts w:ascii="Arial" w:hAnsi="Arial" w:cs="Arial"/>
          <w:bCs/>
          <w:i/>
          <w:iCs/>
          <w:spacing w:val="-3"/>
          <w:sz w:val="22"/>
          <w:szCs w:val="22"/>
        </w:rPr>
        <w:t>Queensland Human Rights Commission’s report, Building Belonging – Review of Queensland’s Anti-Discrimination Act 1991</w:t>
      </w:r>
      <w:r w:rsidR="008030E4">
        <w:rPr>
          <w:rFonts w:ascii="Arial" w:hAnsi="Arial" w:cs="Arial"/>
          <w:bCs/>
          <w:spacing w:val="-3"/>
          <w:sz w:val="22"/>
          <w:szCs w:val="22"/>
        </w:rPr>
        <w:t xml:space="preserve"> and its public release</w:t>
      </w:r>
      <w:r>
        <w:rPr>
          <w:rFonts w:ascii="Arial" w:hAnsi="Arial" w:cs="Arial"/>
          <w:bCs/>
          <w:spacing w:val="-3"/>
          <w:sz w:val="22"/>
          <w:szCs w:val="22"/>
        </w:rPr>
        <w:t xml:space="preserve">. </w:t>
      </w:r>
    </w:p>
    <w:p w14:paraId="5D8B4151" w14:textId="27376AB3" w:rsidR="00D6589B" w:rsidRPr="00C07656" w:rsidRDefault="00D6589B" w:rsidP="00423B53">
      <w:pPr>
        <w:keepNext/>
        <w:numPr>
          <w:ilvl w:val="0"/>
          <w:numId w:val="1"/>
        </w:numPr>
        <w:tabs>
          <w:tab w:val="clear" w:pos="720"/>
          <w:tab w:val="num" w:pos="360"/>
        </w:tabs>
        <w:spacing w:before="360"/>
        <w:ind w:left="357" w:hanging="357"/>
        <w:jc w:val="both"/>
        <w:rPr>
          <w:rFonts w:ascii="Arial" w:hAnsi="Arial" w:cs="Arial"/>
          <w:sz w:val="22"/>
          <w:szCs w:val="22"/>
        </w:rPr>
      </w:pPr>
      <w:r w:rsidRPr="00C07656">
        <w:rPr>
          <w:rFonts w:ascii="Arial" w:hAnsi="Arial" w:cs="Arial"/>
          <w:i/>
          <w:sz w:val="22"/>
          <w:szCs w:val="22"/>
          <w:u w:val="single"/>
        </w:rPr>
        <w:t>Attachments</w:t>
      </w:r>
      <w:r w:rsidR="00423B53">
        <w:rPr>
          <w:rFonts w:ascii="Arial" w:hAnsi="Arial" w:cs="Arial"/>
          <w:iCs/>
          <w:sz w:val="22"/>
          <w:szCs w:val="22"/>
        </w:rPr>
        <w:t>:</w:t>
      </w:r>
    </w:p>
    <w:p w14:paraId="75A288F2" w14:textId="06D538C8" w:rsidR="00E940CF" w:rsidRPr="007E5BEF" w:rsidRDefault="00B6623E" w:rsidP="006460CF">
      <w:pPr>
        <w:pStyle w:val="ListParagraph"/>
        <w:numPr>
          <w:ilvl w:val="0"/>
          <w:numId w:val="2"/>
        </w:numPr>
        <w:spacing w:before="120"/>
        <w:ind w:left="811"/>
        <w:contextualSpacing w:val="0"/>
        <w:jc w:val="both"/>
        <w:rPr>
          <w:rFonts w:ascii="Arial" w:hAnsi="Arial" w:cs="Arial"/>
          <w:sz w:val="22"/>
          <w:szCs w:val="22"/>
        </w:rPr>
      </w:pPr>
      <w:hyperlink r:id="rId10" w:history="1">
        <w:r w:rsidR="004A681A" w:rsidRPr="00634D62">
          <w:rPr>
            <w:rStyle w:val="Hyperlink"/>
            <w:rFonts w:ascii="Arial" w:hAnsi="Arial" w:cs="Arial"/>
            <w:sz w:val="22"/>
            <w:szCs w:val="22"/>
          </w:rPr>
          <w:t xml:space="preserve">Final </w:t>
        </w:r>
        <w:r w:rsidR="00C92923" w:rsidRPr="00634D62">
          <w:rPr>
            <w:rStyle w:val="Hyperlink"/>
            <w:rFonts w:ascii="Arial" w:hAnsi="Arial" w:cs="Arial"/>
            <w:sz w:val="22"/>
            <w:szCs w:val="22"/>
          </w:rPr>
          <w:t xml:space="preserve">Queensland Government response to the </w:t>
        </w:r>
        <w:r w:rsidR="00423B53" w:rsidRPr="00634D62">
          <w:rPr>
            <w:rStyle w:val="Hyperlink"/>
            <w:rFonts w:ascii="Arial" w:hAnsi="Arial" w:cs="Arial"/>
            <w:bCs/>
            <w:i/>
            <w:iCs/>
            <w:spacing w:val="-3"/>
            <w:sz w:val="22"/>
            <w:szCs w:val="22"/>
          </w:rPr>
          <w:t>Queensland Human Rights Commission’s report, Building Belonging – Review of Queensland’s Anti-Discrimination Act 1991</w:t>
        </w:r>
      </w:hyperlink>
    </w:p>
    <w:sectPr w:rsidR="00E940CF" w:rsidRPr="007E5BEF" w:rsidSect="00423B53">
      <w:headerReference w:type="even" r:id="rId11"/>
      <w:headerReference w:type="default" r:id="rId12"/>
      <w:headerReference w:type="first" r:id="rId13"/>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35C99" w14:textId="77777777" w:rsidR="007B0F75" w:rsidRDefault="007B0F75" w:rsidP="00D6589B">
      <w:r>
        <w:separator/>
      </w:r>
    </w:p>
  </w:endnote>
  <w:endnote w:type="continuationSeparator" w:id="0">
    <w:p w14:paraId="6A1CECB1" w14:textId="77777777" w:rsidR="007B0F75" w:rsidRDefault="007B0F75"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17A43" w14:textId="77777777" w:rsidR="007B0F75" w:rsidRDefault="007B0F75" w:rsidP="00D6589B">
      <w:r>
        <w:separator/>
      </w:r>
    </w:p>
  </w:footnote>
  <w:footnote w:type="continuationSeparator" w:id="0">
    <w:p w14:paraId="7BC41316" w14:textId="77777777" w:rsidR="007B0F75" w:rsidRDefault="007B0F75"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26E7C" w14:textId="55657DDC" w:rsidR="00B6623E" w:rsidRDefault="00B6623E">
    <w:pPr>
      <w:pStyle w:val="Header"/>
    </w:pPr>
    <w:r>
      <w:rPr>
        <w:noProof/>
      </w:rPr>
      <mc:AlternateContent>
        <mc:Choice Requires="wps">
          <w:drawing>
            <wp:anchor distT="0" distB="0" distL="0" distR="0" simplePos="0" relativeHeight="251659264" behindDoc="0" locked="0" layoutInCell="1" allowOverlap="1" wp14:anchorId="319A3D3C" wp14:editId="43B5334C">
              <wp:simplePos x="635" y="635"/>
              <wp:positionH relativeFrom="page">
                <wp:align>center</wp:align>
              </wp:positionH>
              <wp:positionV relativeFrom="page">
                <wp:align>top</wp:align>
              </wp:positionV>
              <wp:extent cx="443865" cy="443865"/>
              <wp:effectExtent l="0" t="0" r="14605" b="13970"/>
              <wp:wrapNone/>
              <wp:docPr id="118634087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A8101A" w14:textId="097E8014" w:rsidR="00B6623E" w:rsidRPr="00B6623E" w:rsidRDefault="00B6623E" w:rsidP="00B6623E">
                          <w:pPr>
                            <w:rPr>
                              <w:rFonts w:ascii="Calibri" w:eastAsia="Calibri" w:hAnsi="Calibri" w:cs="Calibri"/>
                              <w:noProof/>
                              <w:color w:val="008000"/>
                              <w:sz w:val="40"/>
                              <w:szCs w:val="40"/>
                            </w:rPr>
                          </w:pPr>
                          <w:r w:rsidRPr="00B6623E">
                            <w:rPr>
                              <w:rFonts w:ascii="Calibri" w:eastAsia="Calibri" w:hAnsi="Calibri" w:cs="Calibri"/>
                              <w:noProof/>
                              <w:color w:val="008000"/>
                              <w:sz w:val="40"/>
                              <w:szCs w:val="4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9A3D3C"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4BA8101A" w14:textId="097E8014" w:rsidR="00B6623E" w:rsidRPr="00B6623E" w:rsidRDefault="00B6623E" w:rsidP="00B6623E">
                    <w:pPr>
                      <w:rPr>
                        <w:rFonts w:ascii="Calibri" w:eastAsia="Calibri" w:hAnsi="Calibri" w:cs="Calibri"/>
                        <w:noProof/>
                        <w:color w:val="008000"/>
                        <w:sz w:val="40"/>
                        <w:szCs w:val="40"/>
                      </w:rPr>
                    </w:pPr>
                    <w:r w:rsidRPr="00B6623E">
                      <w:rPr>
                        <w:rFonts w:ascii="Calibri" w:eastAsia="Calibri" w:hAnsi="Calibri" w:cs="Calibri"/>
                        <w:noProof/>
                        <w:color w:val="008000"/>
                        <w:sz w:val="40"/>
                        <w:szCs w:val="4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12838" w14:textId="090B9FC6" w:rsidR="00423B53" w:rsidRPr="00937A4A" w:rsidRDefault="00B6623E" w:rsidP="00423B53">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Pr>
        <w:rFonts w:ascii="Arial" w:hAnsi="Arial" w:cs="Arial"/>
        <w:b/>
        <w:noProof/>
        <w:color w:val="auto"/>
        <w:sz w:val="28"/>
        <w:szCs w:val="22"/>
        <w:lang w:eastAsia="en-US"/>
      </w:rPr>
      <mc:AlternateContent>
        <mc:Choice Requires="wps">
          <w:drawing>
            <wp:anchor distT="0" distB="0" distL="0" distR="0" simplePos="0" relativeHeight="251660288" behindDoc="0" locked="0" layoutInCell="1" allowOverlap="1" wp14:anchorId="1DFD12BF" wp14:editId="3108355D">
              <wp:simplePos x="635" y="635"/>
              <wp:positionH relativeFrom="page">
                <wp:align>center</wp:align>
              </wp:positionH>
              <wp:positionV relativeFrom="page">
                <wp:align>top</wp:align>
              </wp:positionV>
              <wp:extent cx="443865" cy="443865"/>
              <wp:effectExtent l="0" t="0" r="14605" b="13970"/>
              <wp:wrapNone/>
              <wp:docPr id="61716692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6AAD41" w14:textId="4C85698F" w:rsidR="00B6623E" w:rsidRPr="00B6623E" w:rsidRDefault="00B6623E" w:rsidP="00B6623E">
                          <w:pPr>
                            <w:rPr>
                              <w:rFonts w:ascii="Calibri" w:eastAsia="Calibri" w:hAnsi="Calibri" w:cs="Calibri"/>
                              <w:noProof/>
                              <w:color w:val="008000"/>
                              <w:sz w:val="40"/>
                              <w:szCs w:val="40"/>
                            </w:rPr>
                          </w:pPr>
                          <w:r w:rsidRPr="00B6623E">
                            <w:rPr>
                              <w:rFonts w:ascii="Calibri" w:eastAsia="Calibri" w:hAnsi="Calibri" w:cs="Calibri"/>
                              <w:noProof/>
                              <w:color w:val="008000"/>
                              <w:sz w:val="40"/>
                              <w:szCs w:val="4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DFD12BF" id="_x0000_t202" coordsize="21600,21600" o:spt="202" path="m,l,21600r21600,l21600,xe">
              <v:stroke joinstyle="miter"/>
              <v:path gradientshapeok="t" o:connecttype="rect"/>
            </v:shapetype>
            <v:shape id="Text Box 3" o:spid="_x0000_s1027" type="#_x0000_t202" alt="OFFICI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396AAD41" w14:textId="4C85698F" w:rsidR="00B6623E" w:rsidRPr="00B6623E" w:rsidRDefault="00B6623E" w:rsidP="00B6623E">
                    <w:pPr>
                      <w:rPr>
                        <w:rFonts w:ascii="Calibri" w:eastAsia="Calibri" w:hAnsi="Calibri" w:cs="Calibri"/>
                        <w:noProof/>
                        <w:color w:val="008000"/>
                        <w:sz w:val="40"/>
                        <w:szCs w:val="40"/>
                      </w:rPr>
                    </w:pPr>
                    <w:r w:rsidRPr="00B6623E">
                      <w:rPr>
                        <w:rFonts w:ascii="Calibri" w:eastAsia="Calibri" w:hAnsi="Calibri" w:cs="Calibri"/>
                        <w:noProof/>
                        <w:color w:val="008000"/>
                        <w:sz w:val="40"/>
                        <w:szCs w:val="40"/>
                      </w:rPr>
                      <w:t>OFFICIAL</w:t>
                    </w:r>
                  </w:p>
                </w:txbxContent>
              </v:textbox>
              <w10:wrap anchorx="page" anchory="page"/>
            </v:shape>
          </w:pict>
        </mc:Fallback>
      </mc:AlternateContent>
    </w:r>
    <w:r w:rsidR="00423B53" w:rsidRPr="00937A4A">
      <w:rPr>
        <w:rFonts w:ascii="Arial" w:hAnsi="Arial" w:cs="Arial"/>
        <w:b/>
        <w:color w:val="auto"/>
        <w:sz w:val="28"/>
        <w:szCs w:val="22"/>
        <w:lang w:eastAsia="en-US"/>
      </w:rPr>
      <w:t>Queensland Government</w:t>
    </w:r>
  </w:p>
  <w:p w14:paraId="3AB0A7B0" w14:textId="77777777" w:rsidR="00423B53" w:rsidRPr="00937A4A" w:rsidRDefault="00423B53" w:rsidP="00423B53">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261DDF62" w14:textId="6EB9E461" w:rsidR="00423B53" w:rsidRPr="00937A4A" w:rsidRDefault="00423B53" w:rsidP="00423B53">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Pr>
        <w:rFonts w:ascii="Arial" w:hAnsi="Arial" w:cs="Arial"/>
        <w:b/>
        <w:color w:val="auto"/>
        <w:sz w:val="22"/>
        <w:szCs w:val="22"/>
        <w:lang w:eastAsia="en-US"/>
      </w:rPr>
      <w:t>March 2023</w:t>
    </w:r>
  </w:p>
  <w:p w14:paraId="630F8146" w14:textId="042427DB" w:rsidR="00423B53" w:rsidRDefault="00423B53" w:rsidP="006460CF">
    <w:pPr>
      <w:pStyle w:val="Header"/>
      <w:spacing w:before="120"/>
      <w:jc w:val="both"/>
      <w:rPr>
        <w:rFonts w:ascii="Arial" w:hAnsi="Arial" w:cs="Arial"/>
        <w:b/>
        <w:sz w:val="22"/>
        <w:szCs w:val="22"/>
        <w:u w:val="single"/>
      </w:rPr>
    </w:pPr>
    <w:r w:rsidRPr="00423B53">
      <w:rPr>
        <w:rFonts w:ascii="Arial" w:hAnsi="Arial" w:cs="Arial"/>
        <w:b/>
        <w:sz w:val="22"/>
        <w:szCs w:val="22"/>
        <w:u w:val="single"/>
      </w:rPr>
      <w:t xml:space="preserve">Final Queensland Government response – Queensland Human Rights Commission Report: Building Belonging – Review of Queensland’s </w:t>
    </w:r>
    <w:r w:rsidRPr="00423B53">
      <w:rPr>
        <w:rFonts w:ascii="Arial" w:hAnsi="Arial" w:cs="Arial"/>
        <w:b/>
        <w:i/>
        <w:iCs/>
        <w:sz w:val="22"/>
        <w:szCs w:val="22"/>
        <w:u w:val="single"/>
      </w:rPr>
      <w:t>Anti-Discrimination Act 1991</w:t>
    </w:r>
  </w:p>
  <w:p w14:paraId="64DF4FFE" w14:textId="07006830" w:rsidR="00423B53" w:rsidRDefault="00423B53" w:rsidP="006460CF">
    <w:pPr>
      <w:pStyle w:val="Header"/>
      <w:spacing w:before="120"/>
      <w:jc w:val="both"/>
      <w:rPr>
        <w:rFonts w:ascii="Arial" w:hAnsi="Arial" w:cs="Arial"/>
        <w:b/>
        <w:sz w:val="22"/>
        <w:szCs w:val="22"/>
        <w:u w:val="single"/>
      </w:rPr>
    </w:pPr>
    <w:r w:rsidRPr="00423B53">
      <w:rPr>
        <w:rFonts w:ascii="Arial" w:hAnsi="Arial" w:cs="Arial"/>
        <w:b/>
        <w:sz w:val="22"/>
        <w:szCs w:val="22"/>
        <w:u w:val="single"/>
      </w:rPr>
      <w:t>Attorney-General and Minister for Justice, Minister for Women and Minister for the Prevention of Domestic and Family Violence</w:t>
    </w:r>
  </w:p>
  <w:p w14:paraId="660C9CE3" w14:textId="77777777" w:rsidR="00423B53" w:rsidRDefault="00423B53" w:rsidP="00423B53">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C4A79" w14:textId="4FBD133A" w:rsidR="00B6623E" w:rsidRDefault="00B6623E">
    <w:pPr>
      <w:pStyle w:val="Header"/>
    </w:pPr>
    <w:r>
      <w:rPr>
        <w:noProof/>
      </w:rPr>
      <mc:AlternateContent>
        <mc:Choice Requires="wps">
          <w:drawing>
            <wp:anchor distT="0" distB="0" distL="0" distR="0" simplePos="0" relativeHeight="251658240" behindDoc="0" locked="0" layoutInCell="1" allowOverlap="1" wp14:anchorId="239784A5" wp14:editId="305E19F1">
              <wp:simplePos x="635" y="635"/>
              <wp:positionH relativeFrom="page">
                <wp:align>center</wp:align>
              </wp:positionH>
              <wp:positionV relativeFrom="page">
                <wp:align>top</wp:align>
              </wp:positionV>
              <wp:extent cx="443865" cy="443865"/>
              <wp:effectExtent l="0" t="0" r="14605" b="13970"/>
              <wp:wrapNone/>
              <wp:docPr id="130161896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B1CFD7" w14:textId="207F5F2C" w:rsidR="00B6623E" w:rsidRPr="00B6623E" w:rsidRDefault="00B6623E" w:rsidP="00B6623E">
                          <w:pPr>
                            <w:rPr>
                              <w:rFonts w:ascii="Calibri" w:eastAsia="Calibri" w:hAnsi="Calibri" w:cs="Calibri"/>
                              <w:noProof/>
                              <w:color w:val="008000"/>
                              <w:sz w:val="40"/>
                              <w:szCs w:val="40"/>
                            </w:rPr>
                          </w:pPr>
                          <w:r w:rsidRPr="00B6623E">
                            <w:rPr>
                              <w:rFonts w:ascii="Calibri" w:eastAsia="Calibri" w:hAnsi="Calibri" w:cs="Calibri"/>
                              <w:noProof/>
                              <w:color w:val="008000"/>
                              <w:sz w:val="40"/>
                              <w:szCs w:val="4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39784A5"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60B1CFD7" w14:textId="207F5F2C" w:rsidR="00B6623E" w:rsidRPr="00B6623E" w:rsidRDefault="00B6623E" w:rsidP="00B6623E">
                    <w:pPr>
                      <w:rPr>
                        <w:rFonts w:ascii="Calibri" w:eastAsia="Calibri" w:hAnsi="Calibri" w:cs="Calibri"/>
                        <w:noProof/>
                        <w:color w:val="008000"/>
                        <w:sz w:val="40"/>
                        <w:szCs w:val="40"/>
                      </w:rPr>
                    </w:pPr>
                    <w:r w:rsidRPr="00B6623E">
                      <w:rPr>
                        <w:rFonts w:ascii="Calibri" w:eastAsia="Calibri" w:hAnsi="Calibri" w:cs="Calibri"/>
                        <w:noProof/>
                        <w:color w:val="008000"/>
                        <w:sz w:val="40"/>
                        <w:szCs w:val="4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6D6775"/>
    <w:multiLevelType w:val="hybridMultilevel"/>
    <w:tmpl w:val="87FC32A2"/>
    <w:lvl w:ilvl="0" w:tplc="0C09000F">
      <w:start w:val="1"/>
      <w:numFmt w:val="decimal"/>
      <w:lvlText w:val="%1."/>
      <w:lvlJc w:val="left"/>
      <w:pPr>
        <w:tabs>
          <w:tab w:val="num" w:pos="720"/>
        </w:tabs>
        <w:ind w:left="720" w:hanging="360"/>
      </w:pPr>
    </w:lvl>
    <w:lvl w:ilvl="1" w:tplc="0C090001">
      <w:start w:val="1"/>
      <w:numFmt w:val="bullet"/>
      <w:lvlText w:val=""/>
      <w:lvlJc w:val="left"/>
      <w:pPr>
        <w:tabs>
          <w:tab w:val="num" w:pos="1443"/>
        </w:tabs>
        <w:ind w:left="1443" w:hanging="363"/>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1947156748">
    <w:abstractNumId w:val="2"/>
  </w:num>
  <w:num w:numId="2" w16cid:durableId="1470367735">
    <w:abstractNumId w:val="1"/>
  </w:num>
  <w:num w:numId="3" w16cid:durableId="128089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DCA"/>
    <w:rsid w:val="00080F8F"/>
    <w:rsid w:val="0010384C"/>
    <w:rsid w:val="00152095"/>
    <w:rsid w:val="00174117"/>
    <w:rsid w:val="00184FE7"/>
    <w:rsid w:val="00280DCA"/>
    <w:rsid w:val="002D3446"/>
    <w:rsid w:val="002F03AF"/>
    <w:rsid w:val="0034156D"/>
    <w:rsid w:val="003A3BDD"/>
    <w:rsid w:val="003C4677"/>
    <w:rsid w:val="00423B53"/>
    <w:rsid w:val="0043543B"/>
    <w:rsid w:val="004A1808"/>
    <w:rsid w:val="004A681A"/>
    <w:rsid w:val="004B61D6"/>
    <w:rsid w:val="00501C66"/>
    <w:rsid w:val="0050300E"/>
    <w:rsid w:val="0053314F"/>
    <w:rsid w:val="00550873"/>
    <w:rsid w:val="005E2740"/>
    <w:rsid w:val="00634D62"/>
    <w:rsid w:val="006460CF"/>
    <w:rsid w:val="00680BE8"/>
    <w:rsid w:val="0072176F"/>
    <w:rsid w:val="007265D0"/>
    <w:rsid w:val="00732E22"/>
    <w:rsid w:val="00741C20"/>
    <w:rsid w:val="007755DA"/>
    <w:rsid w:val="007B0F75"/>
    <w:rsid w:val="007E5BEF"/>
    <w:rsid w:val="007F44F4"/>
    <w:rsid w:val="008030E4"/>
    <w:rsid w:val="00904077"/>
    <w:rsid w:val="00921F1D"/>
    <w:rsid w:val="00931F75"/>
    <w:rsid w:val="00935ED6"/>
    <w:rsid w:val="00937A4A"/>
    <w:rsid w:val="00A71797"/>
    <w:rsid w:val="00A94EE7"/>
    <w:rsid w:val="00A9764A"/>
    <w:rsid w:val="00B6238F"/>
    <w:rsid w:val="00B6623E"/>
    <w:rsid w:val="00B95A06"/>
    <w:rsid w:val="00C41463"/>
    <w:rsid w:val="00C64084"/>
    <w:rsid w:val="00C75E67"/>
    <w:rsid w:val="00C84AE2"/>
    <w:rsid w:val="00C92923"/>
    <w:rsid w:val="00CB1501"/>
    <w:rsid w:val="00CD7A50"/>
    <w:rsid w:val="00CF0D8A"/>
    <w:rsid w:val="00D6589B"/>
    <w:rsid w:val="00D712EB"/>
    <w:rsid w:val="00E47C57"/>
    <w:rsid w:val="00E7392B"/>
    <w:rsid w:val="00E940CF"/>
    <w:rsid w:val="00F24A8A"/>
    <w:rsid w:val="00F45B99"/>
    <w:rsid w:val="00F94D48"/>
    <w:rsid w:val="00FA4F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9A61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basedOn w:val="DefaultParagraphFont"/>
    <w:link w:val="BalloonText"/>
    <w:uiPriority w:val="99"/>
    <w:semiHidden/>
    <w:rsid w:val="00D6589B"/>
    <w:rPr>
      <w:rFonts w:ascii="Tahoma" w:hAnsi="Tahoma" w:cs="Tahoma"/>
      <w:sz w:val="16"/>
      <w:szCs w:val="16"/>
    </w:rPr>
  </w:style>
  <w:style w:type="paragraph" w:styleId="ListParagraph">
    <w:name w:val="List Paragraph"/>
    <w:basedOn w:val="Normal"/>
    <w:uiPriority w:val="34"/>
    <w:qFormat/>
    <w:rsid w:val="00C92923"/>
    <w:pPr>
      <w:ind w:left="720"/>
      <w:contextualSpacing/>
    </w:pPr>
  </w:style>
  <w:style w:type="character" w:styleId="Hyperlink">
    <w:name w:val="Hyperlink"/>
    <w:basedOn w:val="DefaultParagraphFont"/>
    <w:uiPriority w:val="99"/>
    <w:unhideWhenUsed/>
    <w:rsid w:val="00634D62"/>
    <w:rPr>
      <w:color w:val="0563C1" w:themeColor="hyperlink"/>
      <w:u w:val="single"/>
    </w:rPr>
  </w:style>
  <w:style w:type="character" w:styleId="UnresolvedMention">
    <w:name w:val="Unresolved Mention"/>
    <w:basedOn w:val="DefaultParagraphFont"/>
    <w:uiPriority w:val="99"/>
    <w:semiHidden/>
    <w:unhideWhenUsed/>
    <w:rsid w:val="00634D62"/>
    <w:rPr>
      <w:color w:val="605E5C"/>
      <w:shd w:val="clear" w:color="auto" w:fill="E1DFDD"/>
    </w:rPr>
  </w:style>
  <w:style w:type="character" w:styleId="FollowedHyperlink">
    <w:name w:val="FollowedHyperlink"/>
    <w:basedOn w:val="DefaultParagraphFont"/>
    <w:uiPriority w:val="99"/>
    <w:semiHidden/>
    <w:unhideWhenUsed/>
    <w:rsid w:val="00634D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dpcqld.sharepoint.com/sites/DPC-CABINETSERVICES/Shared%20Documents/General/Proactive%20Release/ToBeProcessed/2023/Mar/QHRCReport/Attachments/Response.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j\SharePoint\Word%20Templates%20-%20Documents\DPC\Cabinet%20Submission%20-%20Attachment%20-%20Proactive%20Release%20Summ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8ed82f2-f7bd-423c-8698-5e132afe9245">
      <Terms xmlns="http://schemas.microsoft.com/office/infopath/2007/PartnerControls"/>
    </lcf76f155ced4ddcb4097134ff3c332f>
    <TaxCatchAll xmlns="63e311de-a790-43ff-be63-577c26c7507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7" ma:contentTypeDescription="Create a new document." ma:contentTypeScope="" ma:versionID="af6f5430eb7d810b497d2a680f43df08">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9e5b09456ee92f63c793c2b07d46b7f8"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5eeee3-04d4-4a2c-a887-f0b00c2c6e6f}" ma:internalName="TaxCatchAll" ma:showField="CatchAllData" ma:web="63e311de-a790-43ff-be63-577c26c75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1F1B1D-A6D3-4A47-8094-220E4BC0797A}">
  <ds:schemaRefs>
    <ds:schemaRef ds:uri="http://schemas.microsoft.com/sharepoint/v3/contenttype/forms"/>
  </ds:schemaRefs>
</ds:datastoreItem>
</file>

<file path=customXml/itemProps2.xml><?xml version="1.0" encoding="utf-8"?>
<ds:datastoreItem xmlns:ds="http://schemas.openxmlformats.org/officeDocument/2006/customXml" ds:itemID="{B7ADAFE8-8EBC-4A19-8F84-1DB5AA4F2A92}">
  <ds:schemaRefs>
    <ds:schemaRef ds:uri="63e311de-a790-43ff-be63-577c26c7507c"/>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b8ed82f2-f7bd-423c-8698-5e132afe9245"/>
    <ds:schemaRef ds:uri="http://www.w3.org/XML/1998/namespace"/>
    <ds:schemaRef ds:uri="http://purl.org/dc/dcmitype/"/>
  </ds:schemaRefs>
</ds:datastoreItem>
</file>

<file path=customXml/itemProps3.xml><?xml version="1.0" encoding="utf-8"?>
<ds:datastoreItem xmlns:ds="http://schemas.openxmlformats.org/officeDocument/2006/customXml" ds:itemID="{15B23789-8109-46E1-936F-A7E151CA6F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Cabinet Submission - Attachment - Proactive Release Summary.dotx</Template>
  <TotalTime>10</TotalTime>
  <Pages>1</Pages>
  <Words>277</Words>
  <Characters>1719</Characters>
  <Application>Microsoft Office Word</Application>
  <DocSecurity>0</DocSecurity>
  <Lines>28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CharactersWithSpaces>
  <SharedDoc>false</SharedDoc>
  <HyperlinkBase>https://www.cabinet.qld.gov.au/documents/2023/Mar/QHRCReport/</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6</cp:revision>
  <cp:lastPrinted>2023-01-23T05:57:00Z</cp:lastPrinted>
  <dcterms:created xsi:type="dcterms:W3CDTF">2023-05-09T02:40:00Z</dcterms:created>
  <dcterms:modified xsi:type="dcterms:W3CDTF">2023-09-26T04:08:00Z</dcterms:modified>
  <cp:category>Human_Rights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0x010100ECA2DE67D7649D44BCBFB1FAB7B40999</vt:lpwstr>
  </property>
  <property fmtid="{D5CDD505-2E9C-101B-9397-08002B2CF9AE}" pid="3" name="MediaServiceImageTags">
    <vt:lpwstr/>
  </property>
  <property fmtid="{D5CDD505-2E9C-101B-9397-08002B2CF9AE}" pid="4" name="ClassificationContentMarkingHeaderShapeIds">
    <vt:lpwstr>4d952118,46b62008,24c9384b</vt:lpwstr>
  </property>
  <property fmtid="{D5CDD505-2E9C-101B-9397-08002B2CF9AE}" pid="5" name="ClassificationContentMarkingHeaderFontProps">
    <vt:lpwstr>#008000,20,Calibri</vt:lpwstr>
  </property>
  <property fmtid="{D5CDD505-2E9C-101B-9397-08002B2CF9AE}" pid="6" name="ClassificationContentMarkingHeaderText">
    <vt:lpwstr>OFFICIAL</vt:lpwstr>
  </property>
  <property fmtid="{D5CDD505-2E9C-101B-9397-08002B2CF9AE}" pid="7" name="MSIP_Label_dbba12b5-5c44-45c1-8d23-ce231b9c6da8_Enabled">
    <vt:lpwstr>true</vt:lpwstr>
  </property>
  <property fmtid="{D5CDD505-2E9C-101B-9397-08002B2CF9AE}" pid="8" name="MSIP_Label_dbba12b5-5c44-45c1-8d23-ce231b9c6da8_SetDate">
    <vt:lpwstr>2023-09-26T04:08:50Z</vt:lpwstr>
  </property>
  <property fmtid="{D5CDD505-2E9C-101B-9397-08002B2CF9AE}" pid="9" name="MSIP_Label_dbba12b5-5c44-45c1-8d23-ce231b9c6da8_Method">
    <vt:lpwstr>Standard</vt:lpwstr>
  </property>
  <property fmtid="{D5CDD505-2E9C-101B-9397-08002B2CF9AE}" pid="10" name="MSIP_Label_dbba12b5-5c44-45c1-8d23-ce231b9c6da8_Name">
    <vt:lpwstr>OFFICIAL-PILOT</vt:lpwstr>
  </property>
  <property fmtid="{D5CDD505-2E9C-101B-9397-08002B2CF9AE}" pid="11" name="MSIP_Label_dbba12b5-5c44-45c1-8d23-ce231b9c6da8_SiteId">
    <vt:lpwstr>51778d2a-a6ab-4c76-97dc-782782d65046</vt:lpwstr>
  </property>
  <property fmtid="{D5CDD505-2E9C-101B-9397-08002B2CF9AE}" pid="12" name="MSIP_Label_dbba12b5-5c44-45c1-8d23-ce231b9c6da8_ActionId">
    <vt:lpwstr>23efb276-56ac-45ac-b919-7099b8d57dff</vt:lpwstr>
  </property>
  <property fmtid="{D5CDD505-2E9C-101B-9397-08002B2CF9AE}" pid="13" name="MSIP_Label_dbba12b5-5c44-45c1-8d23-ce231b9c6da8_ContentBits">
    <vt:lpwstr>1</vt:lpwstr>
  </property>
</Properties>
</file>